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val="0"/>
        <w:snapToGrid w:val="0"/>
        <w:spacing w:before="0" w:after="0" w:line="600" w:lineRule="exact"/>
        <w:jc w:val="both"/>
        <w:textAlignment w:val="auto"/>
        <w:rPr>
          <w:rStyle w:val="7"/>
          <w:rFonts w:hint="default" w:ascii="黑体" w:hAnsi="黑体" w:eastAsia="黑体" w:cs="黑体"/>
          <w:b w:val="0"/>
          <w:bCs/>
          <w:i w:val="0"/>
          <w:iCs w:val="0"/>
          <w:sz w:val="32"/>
          <w:szCs w:val="32"/>
          <w:lang w:val="en-US" w:eastAsia="zh-CN"/>
        </w:rPr>
      </w:pPr>
      <w:r>
        <w:rPr>
          <w:rStyle w:val="7"/>
          <w:rFonts w:hint="eastAsia" w:ascii="黑体" w:hAnsi="黑体" w:eastAsia="黑体" w:cs="黑体"/>
          <w:b w:val="0"/>
          <w:bCs/>
          <w:i w:val="0"/>
          <w:iCs w:val="0"/>
          <w:sz w:val="32"/>
          <w:szCs w:val="32"/>
          <w:lang w:eastAsia="zh-CN"/>
        </w:rPr>
        <w:t>附件</w:t>
      </w:r>
      <w:r>
        <w:rPr>
          <w:rStyle w:val="7"/>
          <w:rFonts w:hint="eastAsia" w:ascii="黑体" w:hAnsi="黑体" w:eastAsia="黑体" w:cs="黑体"/>
          <w:b w:val="0"/>
          <w:bCs/>
          <w:i w:val="0"/>
          <w:iCs w:val="0"/>
          <w:sz w:val="32"/>
          <w:szCs w:val="32"/>
          <w:lang w:val="en-US" w:eastAsia="zh-CN"/>
        </w:rPr>
        <w:t>1</w:t>
      </w:r>
    </w:p>
    <w:p>
      <w:pPr>
        <w:pStyle w:val="4"/>
        <w:pageBreakBefore w:val="0"/>
        <w:widowControl w:val="0"/>
        <w:kinsoku/>
        <w:wordWrap/>
        <w:overflowPunct/>
        <w:topLinePunct w:val="0"/>
        <w:autoSpaceDE/>
        <w:autoSpaceDN/>
        <w:bidi w:val="0"/>
        <w:adjustRightInd w:val="0"/>
        <w:snapToGrid w:val="0"/>
        <w:spacing w:before="0" w:after="0" w:line="600" w:lineRule="exact"/>
        <w:textAlignment w:val="auto"/>
        <w:rPr>
          <w:rStyle w:val="7"/>
          <w:rFonts w:hint="eastAsia" w:ascii="方正小标宋简体" w:hAnsi="方正小标宋简体" w:eastAsia="方正小标宋简体" w:cs="方正小标宋简体"/>
          <w:b w:val="0"/>
          <w:bCs/>
          <w:i w:val="0"/>
          <w:iCs w:val="0"/>
          <w:sz w:val="44"/>
          <w:szCs w:val="44"/>
        </w:rPr>
      </w:pPr>
    </w:p>
    <w:p>
      <w:pPr>
        <w:pStyle w:val="4"/>
        <w:pageBreakBefore w:val="0"/>
        <w:widowControl w:val="0"/>
        <w:kinsoku/>
        <w:wordWrap/>
        <w:overflowPunct/>
        <w:topLinePunct w:val="0"/>
        <w:autoSpaceDE/>
        <w:autoSpaceDN/>
        <w:bidi w:val="0"/>
        <w:adjustRightInd w:val="0"/>
        <w:snapToGrid w:val="0"/>
        <w:spacing w:before="0" w:after="0" w:line="600" w:lineRule="exact"/>
        <w:textAlignment w:val="auto"/>
        <w:rPr>
          <w:rStyle w:val="7"/>
          <w:rFonts w:hint="eastAsia" w:ascii="方正小标宋简体" w:hAnsi="方正小标宋简体" w:eastAsia="方正小标宋简体" w:cs="方正小标宋简体"/>
          <w:b w:val="0"/>
          <w:bCs/>
          <w:i w:val="0"/>
          <w:iCs w:val="0"/>
          <w:sz w:val="44"/>
          <w:szCs w:val="44"/>
        </w:rPr>
      </w:pPr>
      <w:r>
        <w:rPr>
          <w:rStyle w:val="7"/>
          <w:rFonts w:hint="eastAsia" w:ascii="方正小标宋简体" w:hAnsi="方正小标宋简体" w:eastAsia="方正小标宋简体" w:cs="方正小标宋简体"/>
          <w:b w:val="0"/>
          <w:bCs/>
          <w:i w:val="0"/>
          <w:iCs w:val="0"/>
          <w:sz w:val="44"/>
          <w:szCs w:val="44"/>
        </w:rPr>
        <w:t>考生资格初审环节操作指南</w:t>
      </w:r>
    </w:p>
    <w:p>
      <w:pPr>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pStyle w:val="2"/>
        <w:pageBreakBefore w:val="0"/>
        <w:widowControl w:val="0"/>
        <w:kinsoku/>
        <w:wordWrap/>
        <w:overflowPunct/>
        <w:topLinePunct w:val="0"/>
        <w:autoSpaceDE/>
        <w:autoSpaceDN/>
        <w:bidi w:val="0"/>
        <w:adjustRightInd w:val="0"/>
        <w:snapToGrid w:val="0"/>
        <w:spacing w:before="0" w:after="0" w:line="240" w:lineRule="auto"/>
        <w:ind w:firstLine="640" w:firstLine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一、资格初审材料上传推荐浏览器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推荐IE9及以上版本、Mozilla Firefox、Google Chrome。</w:t>
      </w:r>
    </w:p>
    <w:p>
      <w:pPr>
        <w:pStyle w:val="2"/>
        <w:pageBreakBefore w:val="0"/>
        <w:widowControl w:val="0"/>
        <w:kinsoku/>
        <w:wordWrap/>
        <w:overflowPunct/>
        <w:topLinePunct w:val="0"/>
        <w:autoSpaceDE/>
        <w:autoSpaceDN/>
        <w:bidi w:val="0"/>
        <w:adjustRightInd w:val="0"/>
        <w:snapToGrid w:val="0"/>
        <w:spacing w:before="0" w:after="0"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二、资格初审材料上传格式要求</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所有上传的材料均需要求为JPG或者PNG格式图片（黑白或彩色均可），单个图片文件大小不能超过500KB，最佳大小可以控制在300KB左右，但为确保审查人员能够清楚辨别图片中的相关文字及内容，单个图片大小建议不低于100 KB。原始材料为纸质打印件的，每张图片最多只能包含一页纸的内容。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考生可采取扫描或拍照等方式将纸质材料转化为图片文件，若扫描或拍</w:t>
      </w:r>
      <w:bookmarkStart w:id="0" w:name="_GoBack"/>
      <w:bookmarkEnd w:id="0"/>
      <w:r>
        <w:rPr>
          <w:rFonts w:hint="eastAsia" w:ascii="仿宋_GB2312" w:hAnsi="仿宋_GB2312" w:eastAsia="仿宋_GB2312" w:cs="仿宋_GB2312"/>
          <w:sz w:val="32"/>
          <w:szCs w:val="32"/>
        </w:rPr>
        <w:t>照后的图片文件大小超过了500KB，则可通过截图、调低图片分辨率或相机像素或者微信、QQ等社交软件互传等方式获得符合上传要求的图片，但应保持图片的清晰度。</w:t>
      </w:r>
    </w:p>
    <w:p>
      <w:pPr>
        <w:pStyle w:val="2"/>
        <w:pageBreakBefore w:val="0"/>
        <w:widowControl w:val="0"/>
        <w:kinsoku/>
        <w:wordWrap/>
        <w:overflowPunct/>
        <w:topLinePunct w:val="0"/>
        <w:autoSpaceDE/>
        <w:autoSpaceDN/>
        <w:bidi w:val="0"/>
        <w:adjustRightInd w:val="0"/>
        <w:snapToGrid w:val="0"/>
        <w:spacing w:before="0" w:after="0"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三、资格初审阶段操作说明</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所有参加资格初审的考生须按照资格初审材料要求，在指定时段内通过</w:t>
      </w:r>
      <w:r>
        <w:rPr>
          <w:rFonts w:hint="eastAsia" w:ascii="仿宋_GB2312" w:hAnsi="仿宋_GB2312" w:eastAsia="仿宋_GB2312" w:cs="仿宋_GB2312"/>
          <w:sz w:val="32"/>
          <w:szCs w:val="32"/>
          <w:lang w:eastAsia="zh-CN"/>
        </w:rPr>
        <w:t>人事考评</w:t>
      </w:r>
      <w:r>
        <w:rPr>
          <w:rFonts w:hint="eastAsia" w:ascii="仿宋_GB2312" w:hAnsi="仿宋_GB2312" w:eastAsia="仿宋_GB2312" w:cs="仿宋_GB2312"/>
          <w:sz w:val="32"/>
          <w:szCs w:val="32"/>
        </w:rPr>
        <w:t>报名系统上传本人有关材料。</w:t>
      </w:r>
      <w:r>
        <w:rPr>
          <w:rFonts w:hint="eastAsia" w:ascii="仿宋_GB2312" w:hAnsi="仿宋_GB2312" w:eastAsia="仿宋_GB2312" w:cs="仿宋_GB2312"/>
          <w:b/>
          <w:sz w:val="32"/>
          <w:szCs w:val="32"/>
        </w:rPr>
        <w:t>考生点击“提交”后将不能修改材料内容，请在提交之前仔细确认上传的材料的正确性。上传时间截止后，除退回补充材料的情况外考生将仅能查看不能进行其他操作。请考生务必在指定时间段内完成材料上传。未在规定的时间内上传资格初审材料的，视为自动放弃审查资格。</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请根据材料分类和说明上传对应的材料，</w:t>
      </w:r>
      <w:r>
        <w:rPr>
          <w:rFonts w:hint="eastAsia" w:ascii="仿宋_GB2312" w:hAnsi="仿宋_GB2312" w:eastAsia="仿宋_GB2312" w:cs="仿宋_GB2312"/>
          <w:b/>
          <w:sz w:val="32"/>
          <w:szCs w:val="32"/>
        </w:rPr>
        <w:t>上传材料不对应、无关都会影响</w:t>
      </w:r>
      <w:r>
        <w:rPr>
          <w:rFonts w:hint="eastAsia" w:ascii="仿宋_GB2312" w:hAnsi="仿宋_GB2312" w:eastAsia="仿宋_GB2312" w:cs="仿宋_GB2312"/>
          <w:b/>
          <w:sz w:val="32"/>
          <w:szCs w:val="32"/>
          <w:lang w:eastAsia="zh-CN"/>
        </w:rPr>
        <w:t>考生</w:t>
      </w:r>
      <w:r>
        <w:rPr>
          <w:rFonts w:hint="eastAsia" w:ascii="仿宋_GB2312" w:hAnsi="仿宋_GB2312" w:eastAsia="仿宋_GB2312" w:cs="仿宋_GB2312"/>
          <w:b/>
          <w:sz w:val="32"/>
          <w:szCs w:val="32"/>
        </w:rPr>
        <w:t>的资格初审结果</w:t>
      </w:r>
      <w:r>
        <w:rPr>
          <w:rFonts w:hint="eastAsia" w:ascii="仿宋_GB2312" w:hAnsi="仿宋_GB2312" w:eastAsia="仿宋_GB2312" w:cs="仿宋_GB2312"/>
          <w:sz w:val="32"/>
          <w:szCs w:val="32"/>
        </w:rPr>
        <w:t>，完成上传后应点击图片核实材料是否对应及图片方向、内容是否正确，图片中的关键信息是否清晰可辨认。上传步骤如下：</w:t>
      </w:r>
    </w:p>
    <w:p>
      <w:pPr>
        <w:pStyle w:val="8"/>
        <w:pageBreakBefore w:val="0"/>
        <w:widowControl w:val="0"/>
        <w:numPr>
          <w:ilvl w:val="-1"/>
          <w:numId w:val="0"/>
        </w:numPr>
        <w:kinsoku/>
        <w:wordWrap/>
        <w:overflowPunct/>
        <w:topLinePunct w:val="0"/>
        <w:autoSpaceDE/>
        <w:autoSpaceDN/>
        <w:bidi w:val="0"/>
        <w:adjustRightInd w:val="0"/>
        <w:snapToGrid w:val="0"/>
        <w:spacing w:line="600" w:lineRule="exact"/>
        <w:ind w:left="0"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进入我的考试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w:t>
      </w:r>
      <w:r>
        <w:rPr>
          <w:rFonts w:hint="eastAsia" w:ascii="仿宋_GB2312" w:hAnsi="仿宋_GB2312" w:eastAsia="仿宋_GB2312" w:cs="仿宋_GB2312"/>
          <w:sz w:val="32"/>
          <w:szCs w:val="32"/>
          <w:lang w:eastAsia="zh-CN"/>
        </w:rPr>
        <w:t>人事考评报名系统</w:t>
      </w:r>
      <w:r>
        <w:rPr>
          <w:rFonts w:hint="eastAsia" w:ascii="仿宋_GB2312" w:hAnsi="仿宋_GB2312" w:eastAsia="仿宋_GB2312" w:cs="仿宋_GB2312"/>
          <w:sz w:val="32"/>
          <w:szCs w:val="32"/>
        </w:rPr>
        <w:t>，选择“我的考试”，找到自己本次报考的考试，点击“进入”。如下图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Pr>
        <w:spacing w:before="312" w:beforeLines="100" w:after="312" w:afterLines="100" w:line="360" w:lineRule="auto"/>
        <w:jc w:val="center"/>
        <w:rPr>
          <w:rFonts w:ascii="宋体" w:hAnsi="宋体"/>
          <w:sz w:val="24"/>
          <w:szCs w:val="24"/>
        </w:rPr>
      </w:pPr>
      <w:r>
        <w:rPr>
          <w:rFonts w:hint="eastAsia"/>
        </w:rPr>
        <w:drawing>
          <wp:inline distT="0" distB="0" distL="0" distR="0">
            <wp:extent cx="6120765" cy="1543685"/>
            <wp:effectExtent l="9525" t="9525" r="11430" b="16510"/>
            <wp:docPr id="21"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true"/>
                    </pic:cNvPicPr>
                  </pic:nvPicPr>
                  <pic:blipFill>
                    <a:blip r:embed="rId5" cstate="print">
                      <a:extLst>
                        <a:ext uri="{28A0092B-C50C-407E-A947-70E740481C1C}">
                          <a14:useLocalDpi xmlns:a14="http://schemas.microsoft.com/office/drawing/2010/main" val="false"/>
                        </a:ext>
                      </a:extLst>
                    </a:blip>
                    <a:srcRect l="-60" t="120" b="37238"/>
                    <a:stretch>
                      <a:fillRect/>
                    </a:stretch>
                  </pic:blipFill>
                  <pic:spPr>
                    <a:xfrm>
                      <a:off x="0" y="0"/>
                      <a:ext cx="6120765" cy="1543685"/>
                    </a:xfrm>
                    <a:prstGeom prst="rect">
                      <a:avLst/>
                    </a:prstGeom>
                    <a:ln>
                      <a:solidFill>
                        <a:schemeClr val="tx1"/>
                      </a:solidFill>
                    </a:ln>
                  </pic:spPr>
                </pic:pic>
              </a:graphicData>
            </a:graphic>
          </wp:inline>
        </w:drawing>
      </w:r>
    </w:p>
    <w:p>
      <w:pPr>
        <w:pStyle w:val="8"/>
        <w:numPr>
          <w:ilvl w:val="-1"/>
          <w:numId w:val="0"/>
        </w:numPr>
        <w:adjustRightInd w:val="0"/>
        <w:snapToGrid w:val="0"/>
        <w:spacing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进入资格初审材料上传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点击“资格初审材料上传”后的“进入”按钮后进入材料上传的界面，此按钮仅在规定的时间内对获得资格初审材料上传资格范围内的考生开放。如下图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Pr>
        <w:spacing w:before="312" w:beforeLines="100" w:after="312" w:afterLines="100" w:line="360" w:lineRule="auto"/>
        <w:jc w:val="center"/>
        <w:rPr>
          <w:rFonts w:ascii="宋体" w:hAnsi="宋体"/>
          <w:sz w:val="24"/>
          <w:szCs w:val="24"/>
        </w:rPr>
      </w:pPr>
      <w:r>
        <w:rPr>
          <w:rFonts w:ascii="宋体" w:hAnsi="宋体"/>
          <w:sz w:val="24"/>
          <w:szCs w:val="24"/>
        </w:rPr>
        <w:drawing>
          <wp:inline distT="0" distB="0" distL="0" distR="0">
            <wp:extent cx="5235575" cy="2879725"/>
            <wp:effectExtent l="9525" t="9525" r="12700" b="2159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6" cstate="print">
                      <a:extLst>
                        <a:ext uri="{28A0092B-C50C-407E-A947-70E740481C1C}">
                          <a14:useLocalDpi xmlns:a14="http://schemas.microsoft.com/office/drawing/2010/main" val="false"/>
                        </a:ext>
                      </a:extLst>
                    </a:blip>
                    <a:srcRect l="18144" t="15674"/>
                    <a:stretch>
                      <a:fillRect/>
                    </a:stretch>
                  </pic:blipFill>
                  <pic:spPr>
                    <a:xfrm>
                      <a:off x="0" y="0"/>
                      <a:ext cx="5235575" cy="2879725"/>
                    </a:xfrm>
                    <a:prstGeom prst="rect">
                      <a:avLst/>
                    </a:prstGeom>
                    <a:ln>
                      <a:solidFill>
                        <a:schemeClr val="tx1"/>
                      </a:solidFill>
                    </a:ln>
                  </pic:spPr>
                </pic:pic>
              </a:graphicData>
            </a:graphic>
          </wp:inline>
        </w:drawing>
      </w:r>
    </w:p>
    <w:p>
      <w:pPr>
        <w:pStyle w:val="8"/>
        <w:numPr>
          <w:ilvl w:val="-1"/>
          <w:numId w:val="0"/>
        </w:numPr>
        <w:adjustRightInd w:val="0"/>
        <w:snapToGrid w:val="0"/>
        <w:spacing w:afterLines="0"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上传资格初审材料</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在材料上传界面中先阅读材料上传的注意事项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下方为本次考试需要提交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材料，材料分为必填（有标注）和非必填两种，每类材料请根据公告要求及材料后面的材料说明点击加号进行上传，如果数量、大小等不符合规范则会通过弹窗告知错误操作原因。</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上传后应及时点击“保存材料”按钮，保存后可查看图片核实图片方向、内容是否正确，图片中的关键信息是否清晰可辨认，如有问题需删除后重新上传，如未点击“保存材料”，考生上传的材料未被保存，刷新界面或者重新进入需要重新上传材料，建议提前将材料分类整理好。在规定的资格初审材料上传时间段内，考生点击“保存材料”后未点击“提交”前，考生可查看、删除及上传资格初审材料。上传时间截止或考生点击“提交”后，只能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不能</w:t>
      </w:r>
      <w:r>
        <w:rPr>
          <w:rFonts w:hint="eastAsia" w:ascii="仿宋_GB2312" w:hAnsi="仿宋_GB2312" w:eastAsia="仿宋_GB2312" w:cs="仿宋_GB2312"/>
          <w:sz w:val="32"/>
          <w:szCs w:val="32"/>
          <w:lang w:eastAsia="zh-CN"/>
        </w:rPr>
        <w:t>修改</w:t>
      </w:r>
      <w:r>
        <w:rPr>
          <w:rFonts w:hint="eastAsia" w:ascii="仿宋_GB2312" w:hAnsi="仿宋_GB2312" w:eastAsia="仿宋_GB2312" w:cs="仿宋_GB2312"/>
          <w:sz w:val="32"/>
          <w:szCs w:val="32"/>
        </w:rPr>
        <w:t>。请考生务必在指定时间段内完成材料上传并点击“提交”，否则将导致资格初审材料未及时提交</w:t>
      </w:r>
      <w:r>
        <w:rPr>
          <w:rFonts w:hint="eastAsia" w:ascii="仿宋_GB2312" w:hAnsi="仿宋_GB2312" w:eastAsia="仿宋_GB2312" w:cs="仿宋_GB2312"/>
          <w:sz w:val="32"/>
          <w:szCs w:val="32"/>
          <w:lang w:eastAsia="zh-CN"/>
        </w:rPr>
        <w:t>，视为考生自动放弃资格初审</w:t>
      </w:r>
      <w:r>
        <w:rPr>
          <w:rFonts w:hint="eastAsia" w:ascii="仿宋_GB2312" w:hAnsi="仿宋_GB2312" w:eastAsia="仿宋_GB2312" w:cs="仿宋_GB2312"/>
          <w:sz w:val="32"/>
          <w:szCs w:val="32"/>
        </w:rPr>
        <w:t>。因为材料较多，</w:t>
      </w:r>
      <w:r>
        <w:rPr>
          <w:rFonts w:hint="eastAsia" w:ascii="仿宋_GB2312" w:hAnsi="仿宋_GB2312" w:eastAsia="仿宋_GB2312" w:cs="仿宋_GB2312"/>
          <w:color w:val="auto"/>
          <w:sz w:val="32"/>
          <w:szCs w:val="32"/>
        </w:rPr>
        <w:t>建议考生在</w:t>
      </w:r>
      <w:r>
        <w:rPr>
          <w:rFonts w:hint="eastAsia" w:ascii="仿宋_GB2312" w:hAnsi="仿宋_GB2312" w:eastAsia="仿宋_GB2312" w:cs="仿宋_GB2312"/>
          <w:b/>
          <w:bCs/>
          <w:color w:val="auto"/>
          <w:sz w:val="32"/>
          <w:szCs w:val="32"/>
        </w:rPr>
        <w:t>网络条件良好的环境下</w:t>
      </w:r>
      <w:r>
        <w:rPr>
          <w:rFonts w:hint="eastAsia" w:ascii="仿宋_GB2312" w:hAnsi="仿宋_GB2312" w:eastAsia="仿宋_GB2312" w:cs="仿宋_GB2312"/>
          <w:color w:val="auto"/>
          <w:sz w:val="32"/>
          <w:szCs w:val="32"/>
        </w:rPr>
        <w:t>进行材料上传，防止网络</w:t>
      </w:r>
      <w:r>
        <w:rPr>
          <w:rFonts w:hint="eastAsia" w:ascii="仿宋_GB2312" w:hAnsi="仿宋_GB2312" w:eastAsia="仿宋_GB2312" w:cs="仿宋_GB2312"/>
          <w:sz w:val="32"/>
          <w:szCs w:val="32"/>
        </w:rPr>
        <w:t>原因造成材料丢失或上传不全等情况的发生。</w:t>
      </w:r>
    </w:p>
    <w:p>
      <w:pPr>
        <w:adjustRightInd w:val="0"/>
        <w:snapToGrid w:val="0"/>
        <w:spacing w:after="0" w:afterLines="0"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考生上传阶段仅有一次提交机会</w:t>
      </w:r>
      <w:r>
        <w:rPr>
          <w:rFonts w:hint="eastAsia" w:ascii="仿宋_GB2312" w:hAnsi="仿宋_GB2312" w:eastAsia="仿宋_GB2312" w:cs="仿宋_GB2312"/>
          <w:sz w:val="32"/>
          <w:szCs w:val="32"/>
        </w:rPr>
        <w:t>，在所有材料上传并检查无误后，点击“提交”按钮并确认提交即可上传成功，之后可以进入该流程查看自己上传过的材料。注意点如下几图中所示：</w:t>
      </w:r>
    </w:p>
    <w:p>
      <w:pPr>
        <w:spacing w:after="312" w:afterLines="100" w:line="360" w:lineRule="auto"/>
        <w:rPr>
          <w:rFonts w:ascii="宋体" w:hAnsi="宋体"/>
          <w:sz w:val="24"/>
          <w:szCs w:val="24"/>
        </w:rPr>
      </w:pPr>
      <w:r>
        <w:rPr>
          <w:rFonts w:ascii="宋体" w:hAnsi="宋体"/>
          <w:sz w:val="24"/>
          <w:szCs w:val="24"/>
        </w:rPr>
        <w:drawing>
          <wp:inline distT="0" distB="0" distL="0" distR="0">
            <wp:extent cx="5274310" cy="3740150"/>
            <wp:effectExtent l="9525" t="9525" r="19685" b="14605"/>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pic:cNvPicPr>
                  </pic:nvPicPr>
                  <pic:blipFill>
                    <a:blip r:embed="rId7">
                      <a:extLst>
                        <a:ext uri="{28A0092B-C50C-407E-A947-70E740481C1C}">
                          <a14:useLocalDpi xmlns:a14="http://schemas.microsoft.com/office/drawing/2010/main" val="false"/>
                        </a:ext>
                      </a:extLst>
                    </a:blip>
                    <a:stretch>
                      <a:fillRect/>
                    </a:stretch>
                  </pic:blipFill>
                  <pic:spPr>
                    <a:xfrm>
                      <a:off x="0" y="0"/>
                      <a:ext cx="5274310" cy="3740150"/>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22570" cy="2372995"/>
            <wp:effectExtent l="9525" t="9525" r="17145" b="10160"/>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pic:cNvPicPr>
                  </pic:nvPicPr>
                  <pic:blipFill>
                    <a:blip r:embed="rId8" cstate="print">
                      <a:extLst>
                        <a:ext uri="{28A0092B-C50C-407E-A947-70E740481C1C}">
                          <a14:useLocalDpi xmlns:a14="http://schemas.microsoft.com/office/drawing/2010/main" val="false"/>
                        </a:ext>
                      </a:extLst>
                    </a:blip>
                    <a:srcRect l="23056" t="23925"/>
                    <a:stretch>
                      <a:fillRect/>
                    </a:stretch>
                  </pic:blipFill>
                  <pic:spPr>
                    <a:xfrm>
                      <a:off x="0" y="0"/>
                      <a:ext cx="5322570" cy="2372995"/>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37810" cy="3327400"/>
            <wp:effectExtent l="9525" t="9525" r="17145" b="15875"/>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pic:cNvPicPr>
                  </pic:nvPicPr>
                  <pic:blipFill>
                    <a:blip r:embed="rId9" cstate="print">
                      <a:extLst>
                        <a:ext uri="{28A0092B-C50C-407E-A947-70E740481C1C}">
                          <a14:useLocalDpi xmlns:a14="http://schemas.microsoft.com/office/drawing/2010/main" val="false"/>
                        </a:ext>
                      </a:extLst>
                    </a:blip>
                    <a:srcRect l="28112" t="20385"/>
                    <a:stretch>
                      <a:fillRect/>
                    </a:stretch>
                  </pic:blipFill>
                  <pic:spPr>
                    <a:xfrm>
                      <a:off x="0" y="0"/>
                      <a:ext cx="5337810" cy="3327400"/>
                    </a:xfrm>
                    <a:prstGeom prst="rect">
                      <a:avLst/>
                    </a:prstGeom>
                    <a:ln>
                      <a:solidFill>
                        <a:schemeClr val="tx1"/>
                      </a:solidFill>
                    </a:ln>
                  </pic:spPr>
                </pic:pic>
              </a:graphicData>
            </a:graphic>
          </wp:inline>
        </w:drawing>
      </w:r>
    </w:p>
    <w:p>
      <w:pPr>
        <w:pStyle w:val="8"/>
        <w:numPr>
          <w:ilvl w:val="-1"/>
          <w:numId w:val="0"/>
        </w:numPr>
        <w:adjustRightInd w:val="0"/>
        <w:snapToGrid w:val="0"/>
        <w:spacing w:line="600" w:lineRule="exact"/>
        <w:ind w:left="0"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default" w:ascii="仿宋_GB2312" w:hAnsi="仿宋_GB2312" w:eastAsia="仿宋_GB2312" w:cs="仿宋_GB2312"/>
          <w:b/>
          <w:sz w:val="32"/>
          <w:szCs w:val="32"/>
          <w:lang w:val="en" w:eastAsia="zh-CN"/>
        </w:rPr>
        <w:t>四</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资格初审结果查询</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在材料上传完成之后，考生可以在“资格初审结果查询”流程中查看自己的审核状态，如果审核状态为补充材料，请点击考试流程列表中的“资格初审材料上传”流程后的“修改”进</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补充材料，具体操作步骤和材料上传时相同，请注意在指定时间内补充材料，资格初审结果查询页面如下图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
      <w:pPr>
        <w:spacing w:line="360" w:lineRule="auto"/>
        <w:rPr>
          <w:rFonts w:hint="eastAsia" w:eastAsia="宋体"/>
          <w:sz w:val="24"/>
          <w:szCs w:val="24"/>
          <w:lang w:eastAsia="zh-CN"/>
        </w:rPr>
      </w:pPr>
      <w:r>
        <w:rPr>
          <w:rFonts w:hint="eastAsia" w:eastAsia="宋体"/>
          <w:sz w:val="24"/>
          <w:szCs w:val="24"/>
          <w:lang w:eastAsia="zh-CN"/>
        </w:rPr>
        <w:drawing>
          <wp:inline distT="0" distB="0" distL="114300" distR="114300">
            <wp:extent cx="5713095" cy="1365250"/>
            <wp:effectExtent l="9525" t="9525" r="22860" b="12065"/>
            <wp:docPr id="22" name="图片 22" descr="bdaef59a1c3981a231e9d95aa6945d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descr="bdaef59a1c3981a231e9d95aa6945df"/>
                    <pic:cNvPicPr>
                      <a:picLocks noChangeAspect="true"/>
                    </pic:cNvPicPr>
                  </pic:nvPicPr>
                  <pic:blipFill>
                    <a:blip r:embed="rId10"/>
                    <a:stretch>
                      <a:fillRect/>
                    </a:stretch>
                  </pic:blipFill>
                  <pic:spPr>
                    <a:xfrm>
                      <a:off x="0" y="0"/>
                      <a:ext cx="5713095" cy="1365250"/>
                    </a:xfrm>
                    <a:prstGeom prst="rect">
                      <a:avLst/>
                    </a:prstGeom>
                    <a:ln>
                      <a:solidFill>
                        <a:schemeClr val="tx1"/>
                      </a:solidFill>
                    </a:ln>
                  </pic:spPr>
                </pic:pic>
              </a:graphicData>
            </a:graphic>
          </wp:inline>
        </w:drawing>
      </w:r>
    </w:p>
    <w:p>
      <w:pPr>
        <w:pStyle w:val="2"/>
        <w:rPr>
          <w:rFonts w:hint="eastAsia"/>
          <w:sz w:val="30"/>
          <w:szCs w:val="30"/>
        </w:rPr>
      </w:pPr>
      <w:r>
        <w:rPr>
          <w:rFonts w:hint="eastAsia"/>
          <w:sz w:val="30"/>
          <w:szCs w:val="30"/>
        </w:rPr>
        <w:drawing>
          <wp:inline distT="0" distB="0" distL="0" distR="0">
            <wp:extent cx="5274310" cy="2657475"/>
            <wp:effectExtent l="9525" t="9525" r="19685" b="15240"/>
            <wp:docPr id="20"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true"/>
                    </pic:cNvPicPr>
                  </pic:nvPicPr>
                  <pic:blipFill>
                    <a:blip r:embed="rId11" cstate="print">
                      <a:extLst>
                        <a:ext uri="{28A0092B-C50C-407E-A947-70E740481C1C}">
                          <a14:useLocalDpi xmlns:a14="http://schemas.microsoft.com/office/drawing/2010/main" val="false"/>
                        </a:ext>
                      </a:extLst>
                    </a:blip>
                    <a:stretch>
                      <a:fillRect/>
                    </a:stretch>
                  </pic:blipFill>
                  <pic:spPr>
                    <a:xfrm>
                      <a:off x="0" y="0"/>
                      <a:ext cx="5274310" cy="2657475"/>
                    </a:xfrm>
                    <a:prstGeom prst="rect">
                      <a:avLst/>
                    </a:prstGeom>
                    <a:ln>
                      <a:solidFill>
                        <a:schemeClr val="tx1"/>
                      </a:solidFill>
                    </a:ln>
                  </pic:spPr>
                </pic:pic>
              </a:graphicData>
            </a:graphic>
          </wp:inline>
        </w:drawing>
      </w:r>
    </w:p>
    <w:p>
      <w:pPr>
        <w:pStyle w:val="2"/>
        <w:pageBreakBefore w:val="0"/>
        <w:widowControl w:val="0"/>
        <w:kinsoku/>
        <w:wordWrap/>
        <w:overflowPunct/>
        <w:topLinePunct w:val="0"/>
        <w:autoSpaceDE/>
        <w:autoSpaceDN/>
        <w:bidi w:val="0"/>
        <w:adjustRightInd w:val="0"/>
        <w:snapToGrid w:val="0"/>
        <w:spacing w:before="0" w:after="0"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四、技术咨询电话</w:t>
      </w:r>
    </w:p>
    <w:p>
      <w:pPr>
        <w:pStyle w:val="8"/>
        <w:widowControl/>
        <w:numPr>
          <w:ilvl w:val="-1"/>
          <w:numId w:val="0"/>
        </w:numPr>
        <w:adjustRightInd w:val="0"/>
        <w:snapToGrid w:val="0"/>
        <w:spacing w:line="60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技术咨询电话：</w:t>
      </w:r>
      <w:r>
        <w:rPr>
          <w:rFonts w:hint="eastAsia" w:ascii="仿宋_GB2312" w:hAnsi="仿宋_GB2312" w:eastAsia="仿宋_GB2312" w:cs="仿宋_GB2312"/>
          <w:b w:val="0"/>
          <w:bCs/>
          <w:color w:val="auto"/>
          <w:spacing w:val="0"/>
          <w:kern w:val="2"/>
          <w:sz w:val="32"/>
          <w:szCs w:val="32"/>
          <w:highlight w:val="none"/>
        </w:rPr>
        <w:t>0755-88123667</w:t>
      </w:r>
      <w:r>
        <w:rPr>
          <w:rFonts w:hint="eastAsia" w:ascii="仿宋_GB2312" w:hAnsi="仿宋_GB2312" w:eastAsia="仿宋_GB2312" w:cs="仿宋_GB2312"/>
          <w:b w:val="0"/>
          <w:bCs/>
          <w:color w:val="auto"/>
          <w:spacing w:val="0"/>
          <w:kern w:val="2"/>
          <w:sz w:val="32"/>
          <w:szCs w:val="32"/>
          <w:highlight w:val="none"/>
          <w:lang w:eastAsia="zh-CN"/>
        </w:rPr>
        <w:t>，</w:t>
      </w:r>
      <w:r>
        <w:rPr>
          <w:rFonts w:hint="eastAsia" w:ascii="仿宋_GB2312" w:hAnsi="仿宋_GB2312" w:eastAsia="仿宋_GB2312" w:cs="仿宋_GB2312"/>
          <w:b w:val="0"/>
          <w:bCs/>
          <w:color w:val="auto"/>
          <w:spacing w:val="0"/>
          <w:kern w:val="2"/>
          <w:sz w:val="32"/>
          <w:szCs w:val="32"/>
          <w:highlight w:val="none"/>
        </w:rPr>
        <w:t>受理咨询时间：</w:t>
      </w:r>
      <w:r>
        <w:rPr>
          <w:rFonts w:hint="default" w:ascii="仿宋_GB2312" w:hAnsi="仿宋_GB2312" w:eastAsia="仿宋_GB2312" w:cs="仿宋_GB2312"/>
          <w:b w:val="0"/>
          <w:bCs/>
          <w:color w:val="auto"/>
          <w:spacing w:val="0"/>
          <w:kern w:val="2"/>
          <w:sz w:val="32"/>
          <w:szCs w:val="32"/>
          <w:highlight w:val="none"/>
          <w:lang w:val="en" w:eastAsia="zh-CN"/>
        </w:rPr>
        <w:t>2</w:t>
      </w:r>
      <w:r>
        <w:rPr>
          <w:rFonts w:hint="eastAsia" w:ascii="仿宋_GB2312" w:hAnsi="仿宋_GB2312" w:eastAsia="仿宋_GB2312" w:cs="仿宋_GB2312"/>
          <w:b w:val="0"/>
          <w:bCs/>
          <w:color w:val="auto"/>
          <w:spacing w:val="0"/>
          <w:kern w:val="2"/>
          <w:sz w:val="32"/>
          <w:szCs w:val="32"/>
          <w:highlight w:val="none"/>
        </w:rPr>
        <w:t>月</w:t>
      </w:r>
      <w:r>
        <w:rPr>
          <w:rFonts w:hint="default" w:ascii="仿宋_GB2312" w:hAnsi="仿宋_GB2312" w:eastAsia="仿宋_GB2312" w:cs="仿宋_GB2312"/>
          <w:b w:val="0"/>
          <w:bCs/>
          <w:color w:val="auto"/>
          <w:spacing w:val="0"/>
          <w:kern w:val="2"/>
          <w:sz w:val="32"/>
          <w:szCs w:val="32"/>
          <w:highlight w:val="none"/>
          <w:lang w:val="en" w:eastAsia="zh-CN"/>
        </w:rPr>
        <w:t>22</w:t>
      </w:r>
      <w:r>
        <w:rPr>
          <w:rFonts w:hint="eastAsia" w:ascii="仿宋_GB2312" w:hAnsi="仿宋_GB2312" w:eastAsia="仿宋_GB2312" w:cs="仿宋_GB2312"/>
          <w:b w:val="0"/>
          <w:bCs/>
          <w:color w:val="auto"/>
          <w:spacing w:val="0"/>
          <w:kern w:val="2"/>
          <w:sz w:val="32"/>
          <w:szCs w:val="32"/>
          <w:highlight w:val="none"/>
        </w:rPr>
        <w:t>日至</w:t>
      </w:r>
      <w:r>
        <w:rPr>
          <w:rFonts w:hint="default" w:ascii="仿宋_GB2312" w:hAnsi="仿宋_GB2312" w:eastAsia="仿宋_GB2312" w:cs="仿宋_GB2312"/>
          <w:b w:val="0"/>
          <w:bCs/>
          <w:color w:val="auto"/>
          <w:spacing w:val="0"/>
          <w:kern w:val="2"/>
          <w:sz w:val="32"/>
          <w:szCs w:val="32"/>
          <w:highlight w:val="none"/>
          <w:lang w:val="en" w:eastAsia="zh-CN"/>
        </w:rPr>
        <w:t>3</w:t>
      </w:r>
      <w:r>
        <w:rPr>
          <w:rFonts w:hint="eastAsia" w:ascii="仿宋_GB2312" w:hAnsi="仿宋_GB2312" w:eastAsia="仿宋_GB2312" w:cs="仿宋_GB2312"/>
          <w:b w:val="0"/>
          <w:bCs/>
          <w:color w:val="auto"/>
          <w:spacing w:val="0"/>
          <w:kern w:val="2"/>
          <w:sz w:val="32"/>
          <w:szCs w:val="32"/>
          <w:highlight w:val="none"/>
        </w:rPr>
        <w:t>月</w:t>
      </w:r>
      <w:r>
        <w:rPr>
          <w:rFonts w:hint="eastAsia" w:ascii="仿宋_GB2312" w:hAnsi="仿宋_GB2312" w:eastAsia="仿宋_GB2312" w:cs="仿宋_GB2312"/>
          <w:b w:val="0"/>
          <w:bCs/>
          <w:color w:val="auto"/>
          <w:spacing w:val="0"/>
          <w:kern w:val="2"/>
          <w:sz w:val="32"/>
          <w:szCs w:val="32"/>
          <w:highlight w:val="none"/>
          <w:lang w:val="en-US" w:eastAsia="zh-CN"/>
        </w:rPr>
        <w:t>1</w:t>
      </w:r>
      <w:r>
        <w:rPr>
          <w:rFonts w:hint="eastAsia" w:ascii="仿宋_GB2312" w:hAnsi="仿宋_GB2312" w:eastAsia="仿宋_GB2312" w:cs="仿宋_GB2312"/>
          <w:b w:val="0"/>
          <w:bCs/>
          <w:color w:val="auto"/>
          <w:spacing w:val="0"/>
          <w:kern w:val="2"/>
          <w:sz w:val="32"/>
          <w:szCs w:val="32"/>
          <w:highlight w:val="none"/>
        </w:rPr>
        <w:t>日（9:00-12:00、14:</w:t>
      </w:r>
      <w:r>
        <w:rPr>
          <w:rFonts w:hint="eastAsia" w:ascii="仿宋_GB2312" w:hAnsi="仿宋_GB2312" w:eastAsia="仿宋_GB2312" w:cs="仿宋_GB2312"/>
          <w:b w:val="0"/>
          <w:bCs/>
          <w:color w:val="auto"/>
          <w:spacing w:val="0"/>
          <w:kern w:val="2"/>
          <w:sz w:val="32"/>
          <w:szCs w:val="32"/>
          <w:highlight w:val="none"/>
          <w:lang w:val="en-US" w:eastAsia="zh-CN"/>
        </w:rPr>
        <w:t>3</w:t>
      </w:r>
      <w:r>
        <w:rPr>
          <w:rFonts w:hint="eastAsia" w:ascii="仿宋_GB2312" w:hAnsi="仿宋_GB2312" w:eastAsia="仿宋_GB2312" w:cs="仿宋_GB2312"/>
          <w:b w:val="0"/>
          <w:bCs/>
          <w:color w:val="auto"/>
          <w:spacing w:val="0"/>
          <w:kern w:val="2"/>
          <w:sz w:val="32"/>
          <w:szCs w:val="32"/>
          <w:highlight w:val="none"/>
        </w:rPr>
        <w:t>0-1</w:t>
      </w:r>
      <w:r>
        <w:rPr>
          <w:rFonts w:hint="eastAsia" w:ascii="仿宋_GB2312" w:hAnsi="仿宋_GB2312" w:eastAsia="仿宋_GB2312" w:cs="仿宋_GB2312"/>
          <w:b w:val="0"/>
          <w:bCs/>
          <w:color w:val="auto"/>
          <w:spacing w:val="0"/>
          <w:kern w:val="2"/>
          <w:sz w:val="32"/>
          <w:szCs w:val="32"/>
          <w:highlight w:val="none"/>
          <w:lang w:val="en-US" w:eastAsia="zh-CN"/>
        </w:rPr>
        <w:t>7</w:t>
      </w:r>
      <w:r>
        <w:rPr>
          <w:rFonts w:hint="eastAsia" w:ascii="仿宋_GB2312" w:hAnsi="仿宋_GB2312" w:eastAsia="仿宋_GB2312" w:cs="仿宋_GB2312"/>
          <w:b w:val="0"/>
          <w:bCs/>
          <w:color w:val="auto"/>
          <w:spacing w:val="0"/>
          <w:kern w:val="2"/>
          <w:sz w:val="32"/>
          <w:szCs w:val="32"/>
          <w:highlight w:val="none"/>
        </w:rPr>
        <w:t>:</w:t>
      </w:r>
      <w:r>
        <w:rPr>
          <w:rFonts w:hint="eastAsia" w:ascii="仿宋_GB2312" w:hAnsi="仿宋_GB2312" w:eastAsia="仿宋_GB2312" w:cs="仿宋_GB2312"/>
          <w:b w:val="0"/>
          <w:bCs/>
          <w:color w:val="auto"/>
          <w:spacing w:val="0"/>
          <w:kern w:val="2"/>
          <w:sz w:val="32"/>
          <w:szCs w:val="32"/>
          <w:highlight w:val="none"/>
          <w:lang w:val="en-US" w:eastAsia="zh-CN"/>
        </w:rPr>
        <w:t>3</w:t>
      </w:r>
      <w:r>
        <w:rPr>
          <w:rFonts w:hint="eastAsia" w:ascii="仿宋_GB2312" w:hAnsi="仿宋_GB2312" w:eastAsia="仿宋_GB2312" w:cs="仿宋_GB2312"/>
          <w:b w:val="0"/>
          <w:bCs/>
          <w:color w:val="auto"/>
          <w:spacing w:val="0"/>
          <w:kern w:val="2"/>
          <w:sz w:val="32"/>
          <w:szCs w:val="32"/>
          <w:highlight w:val="none"/>
        </w:rPr>
        <w:t>0）。</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GM2ZmFlMTM0NTY1ZmUyNzY0OWMzZTBiNTMyOTUifQ=="/>
  </w:docVars>
  <w:rsids>
    <w:rsidRoot w:val="00000000"/>
    <w:rsid w:val="63C14B49"/>
    <w:rsid w:val="6B4E399F"/>
    <w:rsid w:val="6DC0249B"/>
    <w:rsid w:val="7A81535E"/>
    <w:rsid w:val="EE66C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7">
    <w:name w:val="书籍标题1"/>
    <w:basedOn w:val="6"/>
    <w:qFormat/>
    <w:uiPriority w:val="33"/>
    <w:rPr>
      <w:b/>
      <w:bCs/>
      <w:i/>
      <w:iCs/>
      <w:spacing w:val="5"/>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2021-04-08T16:27:00Z</dcterms:created>
  <dc:creator>Administrator</dc:creator>
  <cp:lastModifiedBy>user</cp:lastModifiedBy>
  <dcterms:modified xsi:type="dcterms:W3CDTF">2024-02-04T18:12:34Z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DD9801EB38FD4F9E9F3DBD82E846596B</vt:lpwstr>
  </property>
</Properties>
</file>